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16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2"/>
        <w:gridCol w:w="3118"/>
        <w:gridCol w:w="1560"/>
        <w:gridCol w:w="708"/>
        <w:gridCol w:w="709"/>
        <w:gridCol w:w="1276"/>
        <w:gridCol w:w="1701"/>
        <w:gridCol w:w="1559"/>
        <w:gridCol w:w="1559"/>
        <w:gridCol w:w="1559"/>
        <w:gridCol w:w="1559"/>
      </w:tblGrid>
      <w:tr w:rsidR="002A355A" w:rsidRPr="00CC76B1" w:rsidTr="002A355A">
        <w:trPr>
          <w:gridAfter w:val="4"/>
          <w:wAfter w:w="6236" w:type="dxa"/>
          <w:trHeight w:val="533"/>
        </w:trPr>
        <w:tc>
          <w:tcPr>
            <w:tcW w:w="851" w:type="dxa"/>
            <w:gridSpan w:val="2"/>
            <w:shd w:val="clear" w:color="auto" w:fill="auto"/>
          </w:tcPr>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w:t>
            </w:r>
          </w:p>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з/п</w:t>
            </w:r>
          </w:p>
        </w:tc>
        <w:tc>
          <w:tcPr>
            <w:tcW w:w="3118" w:type="dxa"/>
            <w:shd w:val="clear" w:color="auto" w:fill="auto"/>
          </w:tcPr>
          <w:p w:rsidR="002A355A" w:rsidRPr="00CC76B1" w:rsidRDefault="002A355A" w:rsidP="009E6DC3">
            <w:pPr>
              <w:jc w:val="both"/>
              <w:rPr>
                <w:rFonts w:ascii="Times New Roman" w:hAnsi="Times New Roman"/>
                <w:sz w:val="20"/>
                <w:szCs w:val="20"/>
                <w:lang w:val="uk-UA"/>
              </w:rPr>
            </w:pPr>
            <w:r w:rsidRPr="00CC76B1">
              <w:rPr>
                <w:rFonts w:ascii="Times New Roman" w:hAnsi="Times New Roman"/>
                <w:sz w:val="20"/>
                <w:szCs w:val="20"/>
                <w:lang w:val="uk-UA"/>
              </w:rPr>
              <w:t>Найменування товару</w:t>
            </w:r>
          </w:p>
        </w:tc>
        <w:tc>
          <w:tcPr>
            <w:tcW w:w="1560" w:type="dxa"/>
          </w:tcPr>
          <w:p w:rsidR="002A355A" w:rsidRPr="00CC76B1" w:rsidRDefault="002A355A" w:rsidP="002A6362">
            <w:pPr>
              <w:jc w:val="both"/>
              <w:rPr>
                <w:rFonts w:ascii="Times New Roman" w:hAnsi="Times New Roman"/>
                <w:sz w:val="20"/>
                <w:szCs w:val="20"/>
                <w:lang w:val="uk-UA"/>
              </w:rPr>
            </w:pPr>
          </w:p>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Креслення</w:t>
            </w:r>
          </w:p>
        </w:tc>
        <w:tc>
          <w:tcPr>
            <w:tcW w:w="708" w:type="dxa"/>
            <w:shd w:val="clear" w:color="auto" w:fill="auto"/>
          </w:tcPr>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Од. вим.</w:t>
            </w:r>
          </w:p>
        </w:tc>
        <w:tc>
          <w:tcPr>
            <w:tcW w:w="709" w:type="dxa"/>
            <w:shd w:val="clear" w:color="auto" w:fill="auto"/>
          </w:tcPr>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Кіль-кість</w:t>
            </w:r>
          </w:p>
        </w:tc>
        <w:tc>
          <w:tcPr>
            <w:tcW w:w="1276" w:type="dxa"/>
            <w:shd w:val="clear" w:color="auto" w:fill="auto"/>
          </w:tcPr>
          <w:p w:rsidR="002A355A" w:rsidRPr="00CC76B1" w:rsidRDefault="002A355A" w:rsidP="000A02EC">
            <w:pPr>
              <w:rPr>
                <w:rFonts w:ascii="Times New Roman" w:hAnsi="Times New Roman"/>
                <w:sz w:val="20"/>
                <w:szCs w:val="20"/>
                <w:lang w:val="uk-UA"/>
              </w:rPr>
            </w:pPr>
            <w:r w:rsidRPr="00CC76B1">
              <w:rPr>
                <w:rFonts w:ascii="Times New Roman" w:hAnsi="Times New Roman"/>
                <w:sz w:val="20"/>
                <w:szCs w:val="20"/>
                <w:lang w:val="uk-UA"/>
              </w:rPr>
              <w:t>Ціна за од., грн. без ПДВ</w:t>
            </w:r>
          </w:p>
        </w:tc>
        <w:tc>
          <w:tcPr>
            <w:tcW w:w="1701" w:type="dxa"/>
            <w:shd w:val="clear" w:color="auto" w:fill="auto"/>
          </w:tcPr>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 xml:space="preserve">Сума, грн. </w:t>
            </w:r>
          </w:p>
          <w:p w:rsidR="002A355A" w:rsidRPr="00CC76B1" w:rsidRDefault="002A355A" w:rsidP="002A6362">
            <w:pPr>
              <w:jc w:val="both"/>
              <w:rPr>
                <w:rFonts w:ascii="Times New Roman" w:hAnsi="Times New Roman"/>
                <w:sz w:val="20"/>
                <w:szCs w:val="20"/>
                <w:lang w:val="uk-UA"/>
              </w:rPr>
            </w:pPr>
            <w:r w:rsidRPr="00CC76B1">
              <w:rPr>
                <w:rFonts w:ascii="Times New Roman" w:hAnsi="Times New Roman"/>
                <w:sz w:val="20"/>
                <w:szCs w:val="20"/>
                <w:lang w:val="uk-UA"/>
              </w:rPr>
              <w:t>без ПДВ</w:t>
            </w: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r w:rsidRPr="00CC76B1">
              <w:rPr>
                <w:rFonts w:ascii="Times New Roman" w:hAnsi="Times New Roman"/>
                <w:sz w:val="20"/>
                <w:szCs w:val="20"/>
                <w:lang w:val="uk-UA"/>
              </w:rPr>
              <w:t>1.</w:t>
            </w: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Диск захисний верхній насос ТХІ 160/29</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lang w:val="uk-UA"/>
              </w:rPr>
              <w:t>СХП. 309.05.000.СБ</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1</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Диск захисний нижній насос ТХІ 160/29</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lang w:val="uk-UA"/>
              </w:rPr>
              <w:t>СХП. 309.00.018</w:t>
            </w:r>
            <w:r w:rsidRPr="00CC76B1">
              <w:rPr>
                <w:rFonts w:ascii="Times New Roman" w:hAnsi="Times New Roman"/>
                <w:color w:val="000000"/>
                <w:sz w:val="20"/>
                <w:szCs w:val="20"/>
              </w:rPr>
              <w:t>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3</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Колесо робоче АХ-200 ЭИ943</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lang w:val="uk-UA"/>
              </w:rPr>
              <w:t xml:space="preserve">СХП. 1-106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4</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Колесо робоче АХ-280 ЭИ943</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lang w:val="uk-UA"/>
              </w:rPr>
              <w:t>СХП.1-839</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3</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Колесо робоче насоса ТХИ 160/29</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rPr>
              <w:t> </w:t>
            </w:r>
            <w:r w:rsidRPr="00CC76B1">
              <w:rPr>
                <w:rFonts w:ascii="Times New Roman" w:hAnsi="Times New Roman"/>
                <w:color w:val="000000"/>
                <w:sz w:val="20"/>
                <w:szCs w:val="20"/>
                <w:lang w:val="uk-UA"/>
              </w:rPr>
              <w:t>СХП.</w:t>
            </w:r>
            <w:r w:rsidRPr="00CC76B1">
              <w:rPr>
                <w:rFonts w:ascii="Times New Roman" w:hAnsi="Times New Roman"/>
                <w:sz w:val="20"/>
                <w:szCs w:val="20"/>
              </w:rPr>
              <w:t xml:space="preserve"> </w:t>
            </w:r>
            <w:r w:rsidRPr="00CC76B1">
              <w:rPr>
                <w:rFonts w:ascii="Times New Roman" w:hAnsi="Times New Roman"/>
                <w:color w:val="000000"/>
                <w:sz w:val="20"/>
                <w:szCs w:val="20"/>
                <w:lang w:val="uk-UA"/>
              </w:rPr>
              <w:t>Н13.413.00.019</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3</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Колесо робоче насоса ТХИ 45/31</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lang w:val="uk-UA"/>
              </w:rPr>
              <w:t>СХП.</w:t>
            </w:r>
            <w:r w:rsidRPr="00CC76B1">
              <w:rPr>
                <w:rFonts w:ascii="Times New Roman" w:hAnsi="Times New Roman"/>
                <w:sz w:val="20"/>
                <w:szCs w:val="20"/>
              </w:rPr>
              <w:t xml:space="preserve"> </w:t>
            </w:r>
            <w:r w:rsidRPr="00CC76B1">
              <w:rPr>
                <w:rFonts w:ascii="Times New Roman" w:hAnsi="Times New Roman"/>
                <w:color w:val="000000"/>
                <w:sz w:val="20"/>
                <w:szCs w:val="20"/>
                <w:lang w:val="uk-UA"/>
              </w:rPr>
              <w:t>1-649</w:t>
            </w:r>
            <w:r w:rsidRPr="00CC76B1">
              <w:rPr>
                <w:rFonts w:ascii="Times New Roman" w:hAnsi="Times New Roman"/>
                <w:color w:val="000000"/>
                <w:sz w:val="20"/>
                <w:szCs w:val="20"/>
              </w:rPr>
              <w:t>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5</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 xml:space="preserve">Корпус підшипників АХ 45/31 </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СХП.07.19.3п.84.1664.00.01</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1</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 xml:space="preserve">Корпус підшипників АХ-280-42и </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lang w:val="uk-UA"/>
              </w:rPr>
              <w:t>СХП.1-1112</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6</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Кришка всаса АХ-200 ЭИ943</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СХП.2-5188</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4</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Кришка всаса АХ-280 ЭИ943</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 07.10.3п.60.1025-02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2</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Кришка всаса ТХИ 45/31</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lang w:val="uk-UA"/>
              </w:rPr>
              <w:t>СХП.Д</w:t>
            </w:r>
            <w:r w:rsidRPr="00CC76B1">
              <w:rPr>
                <w:rFonts w:ascii="Times New Roman" w:hAnsi="Times New Roman"/>
                <w:color w:val="000000"/>
                <w:sz w:val="20"/>
                <w:szCs w:val="20"/>
              </w:rPr>
              <w:t>.359.00.00.6.А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5</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Кришка насоса ТХИ 45/31</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СХП.3-4573 </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5</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tabs>
                <w:tab w:val="left" w:pos="459"/>
              </w:tabs>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Кришка ущільнення АХ280/42Е ЭИ448</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lang w:val="uk-UA"/>
              </w:rPr>
              <w:t>СХП.</w:t>
            </w:r>
            <w:r w:rsidRPr="00CC76B1">
              <w:rPr>
                <w:rFonts w:ascii="Times New Roman" w:hAnsi="Times New Roman"/>
                <w:color w:val="000000"/>
                <w:sz w:val="20"/>
                <w:szCs w:val="20"/>
              </w:rPr>
              <w:t>3-2647</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3</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Улитка АХ 200 ЭИ943</w:t>
            </w:r>
          </w:p>
        </w:tc>
        <w:tc>
          <w:tcPr>
            <w:tcW w:w="1560" w:type="dxa"/>
            <w:vAlign w:val="center"/>
          </w:tcPr>
          <w:p w:rsidR="002A355A" w:rsidRPr="00CC76B1" w:rsidRDefault="002A355A" w:rsidP="002A355A">
            <w:pPr>
              <w:jc w:val="center"/>
              <w:rPr>
                <w:rFonts w:ascii="Times New Roman" w:hAnsi="Times New Roman"/>
                <w:color w:val="000000"/>
                <w:sz w:val="20"/>
                <w:szCs w:val="20"/>
                <w:lang w:val="uk-UA"/>
              </w:rPr>
            </w:pPr>
            <w:r w:rsidRPr="00CC76B1">
              <w:rPr>
                <w:rFonts w:ascii="Times New Roman" w:hAnsi="Times New Roman"/>
                <w:color w:val="000000"/>
                <w:sz w:val="20"/>
                <w:szCs w:val="20"/>
                <w:lang w:val="uk-UA"/>
              </w:rPr>
              <w:t>СХП.1-1062</w:t>
            </w:r>
          </w:p>
        </w:tc>
        <w:tc>
          <w:tcPr>
            <w:tcW w:w="70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2</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Улитка АХ 280 ЭИ943</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СХП.1-614 </w:t>
            </w:r>
          </w:p>
        </w:tc>
        <w:tc>
          <w:tcPr>
            <w:tcW w:w="708" w:type="dxa"/>
            <w:shd w:val="clear" w:color="auto" w:fill="auto"/>
          </w:tcPr>
          <w:p w:rsidR="002A355A" w:rsidRPr="00CC76B1" w:rsidRDefault="002A355A" w:rsidP="002A355A">
            <w:pPr>
              <w:jc w:val="center"/>
              <w:rPr>
                <w:rFonts w:ascii="Times New Roman" w:hAnsi="Times New Roman"/>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2</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822DC8">
        <w:trPr>
          <w:gridAfter w:val="4"/>
          <w:wAfter w:w="6236" w:type="dxa"/>
          <w:trHeight w:val="415"/>
        </w:trPr>
        <w:tc>
          <w:tcPr>
            <w:tcW w:w="851" w:type="dxa"/>
            <w:gridSpan w:val="2"/>
            <w:shd w:val="clear" w:color="auto" w:fill="auto"/>
          </w:tcPr>
          <w:p w:rsidR="002A355A" w:rsidRPr="00CC76B1" w:rsidRDefault="002A355A" w:rsidP="002A355A">
            <w:pPr>
              <w:pStyle w:val="af5"/>
              <w:numPr>
                <w:ilvl w:val="0"/>
                <w:numId w:val="13"/>
              </w:numPr>
              <w:ind w:right="-54"/>
              <w:jc w:val="center"/>
              <w:rPr>
                <w:rFonts w:ascii="Times New Roman" w:hAnsi="Times New Roman"/>
                <w:sz w:val="20"/>
                <w:szCs w:val="20"/>
                <w:lang w:val="uk-UA"/>
              </w:rPr>
            </w:pPr>
          </w:p>
        </w:tc>
        <w:tc>
          <w:tcPr>
            <w:tcW w:w="3118"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 xml:space="preserve">Улитка ТХИ 45/31 </w:t>
            </w:r>
          </w:p>
        </w:tc>
        <w:tc>
          <w:tcPr>
            <w:tcW w:w="1560" w:type="dxa"/>
            <w:vAlign w:val="center"/>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СХП.2-1647 </w:t>
            </w:r>
          </w:p>
        </w:tc>
        <w:tc>
          <w:tcPr>
            <w:tcW w:w="708" w:type="dxa"/>
            <w:shd w:val="clear" w:color="auto" w:fill="auto"/>
          </w:tcPr>
          <w:p w:rsidR="002A355A" w:rsidRPr="00CC76B1" w:rsidRDefault="002A355A" w:rsidP="002A355A">
            <w:pPr>
              <w:jc w:val="center"/>
              <w:rPr>
                <w:rFonts w:ascii="Times New Roman" w:hAnsi="Times New Roman"/>
                <w:sz w:val="20"/>
                <w:szCs w:val="20"/>
              </w:rPr>
            </w:pPr>
            <w:r w:rsidRPr="00CC76B1">
              <w:rPr>
                <w:rFonts w:ascii="Times New Roman" w:hAnsi="Times New Roman"/>
                <w:color w:val="000000"/>
                <w:sz w:val="20"/>
                <w:szCs w:val="20"/>
              </w:rPr>
              <w:t>шт</w:t>
            </w:r>
          </w:p>
        </w:tc>
        <w:tc>
          <w:tcPr>
            <w:tcW w:w="709" w:type="dxa"/>
            <w:shd w:val="clear" w:color="auto" w:fill="auto"/>
            <w:vAlign w:val="bottom"/>
          </w:tcPr>
          <w:p w:rsidR="002A355A" w:rsidRPr="00CC76B1" w:rsidRDefault="002A355A" w:rsidP="002A355A">
            <w:pPr>
              <w:jc w:val="center"/>
              <w:rPr>
                <w:rFonts w:ascii="Times New Roman" w:hAnsi="Times New Roman"/>
                <w:color w:val="000000"/>
                <w:sz w:val="20"/>
                <w:szCs w:val="20"/>
              </w:rPr>
            </w:pPr>
            <w:r w:rsidRPr="00CC76B1">
              <w:rPr>
                <w:rFonts w:ascii="Times New Roman" w:hAnsi="Times New Roman"/>
                <w:color w:val="000000"/>
                <w:sz w:val="20"/>
                <w:szCs w:val="20"/>
              </w:rPr>
              <w:t>5</w:t>
            </w:r>
          </w:p>
        </w:tc>
        <w:tc>
          <w:tcPr>
            <w:tcW w:w="1276"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c>
          <w:tcPr>
            <w:tcW w:w="1701" w:type="dxa"/>
            <w:shd w:val="clear" w:color="auto" w:fill="auto"/>
            <w:vAlign w:val="center"/>
          </w:tcPr>
          <w:p w:rsidR="002A355A" w:rsidRPr="00CC76B1" w:rsidRDefault="002A355A" w:rsidP="002A355A">
            <w:pPr>
              <w:suppressAutoHyphens/>
              <w:jc w:val="both"/>
              <w:rPr>
                <w:rFonts w:ascii="Times New Roman" w:eastAsia="Lucida Sans Unicode" w:hAnsi="Times New Roman"/>
                <w:kern w:val="2"/>
                <w:sz w:val="20"/>
                <w:szCs w:val="20"/>
                <w:lang w:val="uk-UA"/>
              </w:rPr>
            </w:pPr>
          </w:p>
        </w:tc>
      </w:tr>
      <w:tr w:rsidR="002A355A" w:rsidRPr="00CC76B1" w:rsidTr="002A355A">
        <w:tblPrEx>
          <w:tblLook w:val="0000"/>
        </w:tblPrEx>
        <w:trPr>
          <w:trHeight w:val="273"/>
        </w:trPr>
        <w:tc>
          <w:tcPr>
            <w:tcW w:w="709" w:type="dxa"/>
          </w:tcPr>
          <w:p w:rsidR="002A355A" w:rsidRPr="00CC76B1" w:rsidRDefault="002A355A" w:rsidP="002A6362">
            <w:pPr>
              <w:ind w:right="-54"/>
              <w:jc w:val="both"/>
              <w:rPr>
                <w:rFonts w:ascii="Times New Roman" w:hAnsi="Times New Roman"/>
                <w:sz w:val="20"/>
                <w:szCs w:val="20"/>
                <w:lang w:val="uk-UA"/>
              </w:rPr>
            </w:pPr>
          </w:p>
        </w:tc>
        <w:tc>
          <w:tcPr>
            <w:tcW w:w="7513" w:type="dxa"/>
            <w:gridSpan w:val="6"/>
            <w:shd w:val="clear" w:color="auto" w:fill="auto"/>
          </w:tcPr>
          <w:p w:rsidR="002A355A" w:rsidRPr="00CC76B1" w:rsidRDefault="002A355A" w:rsidP="002A6362">
            <w:pPr>
              <w:ind w:right="-54"/>
              <w:jc w:val="both"/>
              <w:rPr>
                <w:rFonts w:ascii="Times New Roman" w:hAnsi="Times New Roman"/>
                <w:sz w:val="20"/>
                <w:szCs w:val="20"/>
                <w:lang w:val="uk-UA"/>
              </w:rPr>
            </w:pPr>
          </w:p>
        </w:tc>
        <w:tc>
          <w:tcPr>
            <w:tcW w:w="1701" w:type="dxa"/>
            <w:shd w:val="clear" w:color="auto" w:fill="auto"/>
            <w:vAlign w:val="center"/>
          </w:tcPr>
          <w:p w:rsidR="002A355A" w:rsidRPr="00CC76B1" w:rsidRDefault="002A355A" w:rsidP="004A5559">
            <w:pPr>
              <w:rPr>
                <w:rFonts w:ascii="Times New Roman" w:hAnsi="Times New Roman"/>
                <w:color w:val="2C2931"/>
                <w:sz w:val="20"/>
                <w:szCs w:val="20"/>
                <w:shd w:val="clear" w:color="auto" w:fill="FFFFFF"/>
              </w:rPr>
            </w:pPr>
          </w:p>
        </w:tc>
        <w:tc>
          <w:tcPr>
            <w:tcW w:w="1559" w:type="dxa"/>
            <w:shd w:val="clear" w:color="auto" w:fill="auto"/>
            <w:vAlign w:val="center"/>
          </w:tcPr>
          <w:p w:rsidR="002A355A" w:rsidRPr="00CC76B1" w:rsidRDefault="002A355A" w:rsidP="002A6362">
            <w:pPr>
              <w:suppressAutoHyphens/>
              <w:jc w:val="both"/>
              <w:rPr>
                <w:rFonts w:ascii="Times New Roman" w:eastAsia="Lucida Sans Unicode" w:hAnsi="Times New Roman"/>
                <w:kern w:val="2"/>
                <w:sz w:val="20"/>
                <w:szCs w:val="20"/>
                <w:lang w:val="uk-UA"/>
              </w:rPr>
            </w:pPr>
          </w:p>
        </w:tc>
        <w:tc>
          <w:tcPr>
            <w:tcW w:w="1559" w:type="dxa"/>
            <w:shd w:val="clear" w:color="auto" w:fill="auto"/>
            <w:vAlign w:val="center"/>
          </w:tcPr>
          <w:p w:rsidR="002A355A" w:rsidRPr="00CC76B1" w:rsidRDefault="002A355A" w:rsidP="007D16F9">
            <w:pPr>
              <w:suppressAutoHyphens/>
              <w:jc w:val="both"/>
              <w:rPr>
                <w:rFonts w:ascii="Times New Roman" w:eastAsia="Lucida Sans Unicode" w:hAnsi="Times New Roman"/>
                <w:kern w:val="2"/>
                <w:sz w:val="20"/>
                <w:szCs w:val="20"/>
                <w:lang w:val="uk-UA"/>
              </w:rPr>
            </w:pPr>
          </w:p>
        </w:tc>
        <w:tc>
          <w:tcPr>
            <w:tcW w:w="1559" w:type="dxa"/>
            <w:shd w:val="clear" w:color="auto" w:fill="auto"/>
            <w:vAlign w:val="center"/>
          </w:tcPr>
          <w:p w:rsidR="002A355A" w:rsidRPr="00CC76B1" w:rsidRDefault="002A355A" w:rsidP="00813BB8">
            <w:pPr>
              <w:suppressAutoHyphens/>
              <w:jc w:val="both"/>
              <w:rPr>
                <w:rFonts w:ascii="Times New Roman" w:eastAsia="Lucida Sans Unicode" w:hAnsi="Times New Roman"/>
                <w:kern w:val="2"/>
                <w:sz w:val="20"/>
                <w:szCs w:val="20"/>
                <w:lang w:val="uk-UA"/>
              </w:rPr>
            </w:pPr>
          </w:p>
        </w:tc>
        <w:tc>
          <w:tcPr>
            <w:tcW w:w="1559" w:type="dxa"/>
            <w:shd w:val="clear" w:color="auto" w:fill="auto"/>
            <w:vAlign w:val="center"/>
          </w:tcPr>
          <w:p w:rsidR="002A355A" w:rsidRPr="00CC76B1" w:rsidRDefault="002A355A" w:rsidP="007D16F9">
            <w:pPr>
              <w:suppressAutoHyphens/>
              <w:jc w:val="both"/>
              <w:rPr>
                <w:rFonts w:ascii="Times New Roman" w:eastAsia="Lucida Sans Unicode" w:hAnsi="Times New Roman"/>
                <w:kern w:val="2"/>
                <w:sz w:val="20"/>
                <w:szCs w:val="20"/>
                <w:lang w:val="uk-UA"/>
              </w:rPr>
            </w:pPr>
          </w:p>
        </w:tc>
      </w:tr>
      <w:tr w:rsidR="002A355A" w:rsidRPr="00CC76B1" w:rsidTr="002A355A">
        <w:tblPrEx>
          <w:tblLook w:val="0000"/>
        </w:tblPrEx>
        <w:trPr>
          <w:gridAfter w:val="4"/>
          <w:wAfter w:w="6236" w:type="dxa"/>
          <w:trHeight w:val="273"/>
        </w:trPr>
        <w:tc>
          <w:tcPr>
            <w:tcW w:w="709" w:type="dxa"/>
          </w:tcPr>
          <w:p w:rsidR="002A355A" w:rsidRPr="00CC76B1" w:rsidRDefault="002A355A"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0"/>
                <w:szCs w:val="20"/>
                <w:lang w:val="uk-UA"/>
              </w:rPr>
            </w:pPr>
          </w:p>
        </w:tc>
        <w:tc>
          <w:tcPr>
            <w:tcW w:w="7513" w:type="dxa"/>
            <w:gridSpan w:val="6"/>
          </w:tcPr>
          <w:p w:rsidR="002A355A" w:rsidRPr="00CC76B1" w:rsidRDefault="002A355A"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0"/>
                <w:szCs w:val="20"/>
                <w:lang w:val="uk-UA"/>
              </w:rPr>
            </w:pPr>
            <w:r w:rsidRPr="00CC76B1">
              <w:rPr>
                <w:rFonts w:ascii="Times New Roman" w:hAnsi="Times New Roman"/>
                <w:sz w:val="20"/>
                <w:szCs w:val="20"/>
                <w:lang w:val="uk-UA"/>
              </w:rPr>
              <w:t xml:space="preserve">                                                                                                                           ПДВ 20% :</w:t>
            </w:r>
          </w:p>
        </w:tc>
        <w:tc>
          <w:tcPr>
            <w:tcW w:w="1701" w:type="dxa"/>
            <w:vAlign w:val="center"/>
          </w:tcPr>
          <w:p w:rsidR="002A355A" w:rsidRPr="00CC76B1" w:rsidRDefault="002A355A" w:rsidP="006A05E4">
            <w:pPr>
              <w:jc w:val="both"/>
              <w:rPr>
                <w:rFonts w:ascii="Times New Roman" w:hAnsi="Times New Roman"/>
                <w:sz w:val="20"/>
                <w:szCs w:val="20"/>
                <w:lang w:val="uk-UA" w:eastAsia="ar-SA"/>
              </w:rPr>
            </w:pPr>
            <w:r w:rsidRPr="00CC76B1">
              <w:rPr>
                <w:rFonts w:ascii="Times New Roman" w:hAnsi="Times New Roman"/>
                <w:sz w:val="20"/>
                <w:szCs w:val="20"/>
                <w:lang w:val="uk-UA" w:eastAsia="ar-SA"/>
              </w:rPr>
              <w:t xml:space="preserve">  </w:t>
            </w:r>
          </w:p>
        </w:tc>
      </w:tr>
      <w:tr w:rsidR="002A355A" w:rsidRPr="00CC76B1" w:rsidTr="002A355A">
        <w:tblPrEx>
          <w:tblLook w:val="0000"/>
        </w:tblPrEx>
        <w:trPr>
          <w:gridAfter w:val="4"/>
          <w:wAfter w:w="6236" w:type="dxa"/>
          <w:trHeight w:val="273"/>
        </w:trPr>
        <w:tc>
          <w:tcPr>
            <w:tcW w:w="709" w:type="dxa"/>
          </w:tcPr>
          <w:p w:rsidR="002A355A" w:rsidRPr="00CC76B1" w:rsidRDefault="002A355A"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0"/>
                <w:szCs w:val="20"/>
                <w:lang w:val="uk-UA"/>
              </w:rPr>
            </w:pPr>
          </w:p>
        </w:tc>
        <w:tc>
          <w:tcPr>
            <w:tcW w:w="7513" w:type="dxa"/>
            <w:gridSpan w:val="6"/>
          </w:tcPr>
          <w:p w:rsidR="002A355A" w:rsidRPr="00CC76B1" w:rsidRDefault="002A355A"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0"/>
                <w:szCs w:val="20"/>
                <w:lang w:val="uk-UA"/>
              </w:rPr>
            </w:pPr>
            <w:r w:rsidRPr="00CC76B1">
              <w:rPr>
                <w:rFonts w:ascii="Times New Roman" w:hAnsi="Times New Roman"/>
                <w:sz w:val="20"/>
                <w:szCs w:val="20"/>
                <w:lang w:val="uk-UA"/>
              </w:rPr>
              <w:t xml:space="preserve">                                                                                                                   Всього з  ПДВ :</w:t>
            </w:r>
          </w:p>
        </w:tc>
        <w:tc>
          <w:tcPr>
            <w:tcW w:w="1701" w:type="dxa"/>
            <w:vAlign w:val="center"/>
          </w:tcPr>
          <w:p w:rsidR="002A355A" w:rsidRPr="00CC76B1" w:rsidRDefault="002A355A" w:rsidP="007D16F9">
            <w:pPr>
              <w:jc w:val="both"/>
              <w:rPr>
                <w:rFonts w:ascii="Times New Roman" w:hAnsi="Times New Roman"/>
                <w:sz w:val="20"/>
                <w:szCs w:val="20"/>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D0F0D">
        <w:rPr>
          <w:sz w:val="22"/>
          <w:szCs w:val="22"/>
          <w:lang w:val="uk-UA"/>
        </w:rPr>
        <w:t xml:space="preserve"> вимогам та</w:t>
      </w:r>
      <w:r w:rsidR="004A5559" w:rsidRPr="004A5559">
        <w:rPr>
          <w:sz w:val="22"/>
          <w:szCs w:val="22"/>
          <w:lang w:val="uk-UA"/>
        </w:rPr>
        <w:t xml:space="preserve"> </w:t>
      </w:r>
      <w:r w:rsidR="001D0F0D">
        <w:rPr>
          <w:sz w:val="22"/>
          <w:szCs w:val="22"/>
          <w:lang w:val="uk-UA"/>
        </w:rPr>
        <w:t>кресленню (ПОКУПЦЯ)</w:t>
      </w:r>
      <w:r w:rsidR="004A5559" w:rsidRPr="004A5559">
        <w:rPr>
          <w:sz w:val="22"/>
          <w:szCs w:val="22"/>
          <w:lang w:val="uk-UA"/>
        </w:rPr>
        <w:t xml:space="preserve">. </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lastRenderedPageBreak/>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D0F0D">
        <w:rPr>
          <w:rFonts w:ascii="Times New Roman" w:hAnsi="Times New Roman"/>
          <w:sz w:val="22"/>
          <w:szCs w:val="22"/>
          <w:lang w:val="uk-UA"/>
        </w:rPr>
        <w:t>СРТ</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ПОСТАЧАЛЬНИКА</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2421CB" w:rsidRDefault="0000245E" w:rsidP="0024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r w:rsidRPr="00A54EF4">
        <w:rPr>
          <w:rFonts w:ascii="Times New Roman" w:hAnsi="Times New Roman"/>
          <w:sz w:val="22"/>
          <w:szCs w:val="22"/>
          <w:lang w:val="uk-UA"/>
        </w:rPr>
        <w:t>2.2. Форма розрахункових документів – платіжне доручення.</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813BB8">
        <w:rPr>
          <w:rFonts w:ascii="Times New Roman" w:hAnsi="Times New Roman"/>
          <w:sz w:val="22"/>
          <w:szCs w:val="22"/>
          <w:lang w:val="uk-UA" w:eastAsia="ar-SA"/>
        </w:rPr>
        <w:t>1</w:t>
      </w:r>
      <w:r w:rsidR="007D16F9">
        <w:rPr>
          <w:rFonts w:ascii="Times New Roman" w:hAnsi="Times New Roman"/>
          <w:sz w:val="22"/>
          <w:szCs w:val="22"/>
          <w:lang w:val="uk-UA" w:eastAsia="ar-SA"/>
        </w:rPr>
        <w:t>4</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Pr>
          <w:rFonts w:ascii="Times New Roman" w:hAnsi="Times New Roman"/>
          <w:lang w:val="uk-UA"/>
        </w:rPr>
        <w:t>С</w:t>
      </w:r>
      <w:r w:rsidRPr="002F39BE">
        <w:rPr>
          <w:rFonts w:ascii="Times New Roman" w:hAnsi="Times New Roman"/>
          <w:lang w:val="en-US"/>
        </w:rPr>
        <w:t>P</w:t>
      </w:r>
      <w:r>
        <w:rPr>
          <w:rFonts w:ascii="Times New Roman" w:hAnsi="Times New Roman"/>
          <w:lang w:val="uk-UA"/>
        </w:rPr>
        <w:t>Т</w:t>
      </w:r>
      <w:r w:rsidRPr="002F39BE">
        <w:rPr>
          <w:rFonts w:ascii="Times New Roman" w:hAnsi="Times New Roman"/>
          <w:lang w:val="uk-UA"/>
        </w:rPr>
        <w:t xml:space="preserve">, м. Суми (склад ПЕРЕВІЗНИКА) протягом </w:t>
      </w:r>
      <w:r>
        <w:rPr>
          <w:rFonts w:ascii="Times New Roman" w:hAnsi="Times New Roman"/>
          <w:lang w:val="uk-UA"/>
        </w:rPr>
        <w:t>5</w:t>
      </w:r>
      <w:r w:rsidRPr="002F39BE">
        <w:rPr>
          <w:rFonts w:ascii="Times New Roman" w:hAnsi="Times New Roman"/>
          <w:lang w:val="uk-UA"/>
        </w:rPr>
        <w:t xml:space="preserve">-ти </w:t>
      </w:r>
      <w:r>
        <w:rPr>
          <w:rFonts w:ascii="Times New Roman" w:hAnsi="Times New Roman"/>
          <w:lang w:val="uk-UA"/>
        </w:rPr>
        <w:t>робочих</w:t>
      </w:r>
      <w:r w:rsidRPr="002F39BE">
        <w:rPr>
          <w:rFonts w:ascii="Times New Roman" w:hAnsi="Times New Roman"/>
          <w:lang w:val="uk-UA"/>
        </w:rPr>
        <w:t xml:space="preserve"> днів з моменту здійснення</w:t>
      </w:r>
      <w:r>
        <w:rPr>
          <w:rFonts w:ascii="Times New Roman" w:hAnsi="Times New Roman"/>
          <w:lang w:val="uk-UA"/>
        </w:rPr>
        <w:t xml:space="preserve"> «ПОКУПЦЕМ»</w:t>
      </w:r>
      <w:r w:rsidRPr="002F39BE">
        <w:rPr>
          <w:rFonts w:ascii="Times New Roman" w:hAnsi="Times New Roman"/>
          <w:lang w:val="uk-UA"/>
        </w:rPr>
        <w:t xml:space="preserve"> оплати згідно з п.3.1. Договору.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4.2.Місце поставки Товару: СРТ, м.</w:t>
      </w:r>
      <w:r>
        <w:rPr>
          <w:rFonts w:ascii="Times New Roman" w:hAnsi="Times New Roman"/>
          <w:lang w:val="uk-UA"/>
        </w:rPr>
        <w:t xml:space="preserve"> </w:t>
      </w:r>
      <w:r w:rsidRPr="00372B82">
        <w:rPr>
          <w:rFonts w:ascii="Times New Roman" w:hAnsi="Times New Roman"/>
          <w:lang w:val="uk-UA"/>
        </w:rPr>
        <w:t xml:space="preserve">Суми (склад </w:t>
      </w:r>
      <w:r>
        <w:rPr>
          <w:rFonts w:ascii="Times New Roman" w:hAnsi="Times New Roman"/>
          <w:lang w:val="uk-UA"/>
        </w:rPr>
        <w:t>«</w:t>
      </w:r>
      <w:r w:rsidRPr="00372B82">
        <w:rPr>
          <w:rFonts w:ascii="Times New Roman" w:hAnsi="Times New Roman"/>
          <w:lang w:val="uk-UA"/>
        </w:rPr>
        <w:t>П</w:t>
      </w:r>
      <w:r>
        <w:rPr>
          <w:rFonts w:ascii="Times New Roman" w:hAnsi="Times New Roman"/>
          <w:lang w:val="uk-UA"/>
        </w:rPr>
        <w:t>ЕРЕВІЗНИКА</w:t>
      </w:r>
      <w:r w:rsidRPr="00372B82">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Pr="00D81E41">
        <w:rPr>
          <w:rFonts w:ascii="Times New Roman" w:eastAsia="Calibri" w:hAnsi="Times New Roman"/>
          <w:color w:val="000000"/>
          <w:lang w:val="uk-UA"/>
        </w:rPr>
        <w:t>висновок про необхідність проведення робіт щодо обов'язкової сертифікації</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 xml:space="preserve">арбітражу при Раді </w:t>
      </w:r>
      <w:r w:rsidRPr="00372B82">
        <w:rPr>
          <w:rFonts w:ascii="Times New Roman" w:hAnsi="Times New Roman"/>
          <w:lang w:val="uk-UA"/>
        </w:rPr>
        <w:lastRenderedPageBreak/>
        <w:t>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 xml:space="preserve">5.4. Приймання Товару за кількістю проводиться «ПОКУПЦЕМ» у відповідності з  </w:t>
      </w:r>
      <w:r w:rsidRPr="00DD381D">
        <w:rPr>
          <w:lang w:val="uk-UA"/>
        </w:rPr>
        <w:lastRenderedPageBreak/>
        <w:t>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lastRenderedPageBreak/>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 xml:space="preserve">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w:t>
      </w:r>
      <w:r w:rsidRPr="00DD381D">
        <w:rPr>
          <w:color w:val="000000"/>
          <w:lang w:val="uk-UA"/>
        </w:rPr>
        <w:lastRenderedPageBreak/>
        <w:t>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 xml:space="preserve">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w:t>
      </w:r>
      <w:r w:rsidRPr="00DD381D">
        <w:rPr>
          <w:lang w:val="uk-UA"/>
        </w:rPr>
        <w:lastRenderedPageBreak/>
        <w:t>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lastRenderedPageBreak/>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922FF1">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5E" w:rsidRDefault="0094515E" w:rsidP="00556C2D">
      <w:r>
        <w:separator/>
      </w:r>
    </w:p>
  </w:endnote>
  <w:endnote w:type="continuationSeparator" w:id="1">
    <w:p w:rsidR="0094515E" w:rsidRDefault="0094515E"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5E" w:rsidRDefault="0094515E" w:rsidP="00556C2D">
      <w:r>
        <w:separator/>
      </w:r>
    </w:p>
  </w:footnote>
  <w:footnote w:type="continuationSeparator" w:id="1">
    <w:p w:rsidR="0094515E" w:rsidRDefault="0094515E"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9B1B75">
    <w:pPr>
      <w:pStyle w:val="ae"/>
      <w:jc w:val="center"/>
    </w:pPr>
    <w:fldSimple w:instr=" PAGE   \* MERGEFORMAT ">
      <w:r w:rsidR="00CC76B1">
        <w:rPr>
          <w:noProof/>
        </w:rPr>
        <w:t>2</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2AE42531"/>
    <w:multiLevelType w:val="hybridMultilevel"/>
    <w:tmpl w:val="1200F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55399"/>
    <w:multiLevelType w:val="hybridMultilevel"/>
    <w:tmpl w:val="C342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7">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7"/>
  </w:num>
  <w:num w:numId="5">
    <w:abstractNumId w:val="5"/>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22097"/>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2412"/>
    <w:rsid w:val="001A440B"/>
    <w:rsid w:val="001A6373"/>
    <w:rsid w:val="001A6D9A"/>
    <w:rsid w:val="001A73D5"/>
    <w:rsid w:val="001B161C"/>
    <w:rsid w:val="001B1C5F"/>
    <w:rsid w:val="001B6118"/>
    <w:rsid w:val="001B70B5"/>
    <w:rsid w:val="001C0DBC"/>
    <w:rsid w:val="001C50BB"/>
    <w:rsid w:val="001D0F0D"/>
    <w:rsid w:val="001D5807"/>
    <w:rsid w:val="001D651E"/>
    <w:rsid w:val="001E483C"/>
    <w:rsid w:val="001E5358"/>
    <w:rsid w:val="001F3710"/>
    <w:rsid w:val="00203DF9"/>
    <w:rsid w:val="00204D77"/>
    <w:rsid w:val="0020548B"/>
    <w:rsid w:val="00210581"/>
    <w:rsid w:val="002157E3"/>
    <w:rsid w:val="0022027A"/>
    <w:rsid w:val="0022521A"/>
    <w:rsid w:val="00230194"/>
    <w:rsid w:val="002364DD"/>
    <w:rsid w:val="0024039B"/>
    <w:rsid w:val="002421C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355A"/>
    <w:rsid w:val="002A417B"/>
    <w:rsid w:val="002A6362"/>
    <w:rsid w:val="002B02B3"/>
    <w:rsid w:val="002B0FDB"/>
    <w:rsid w:val="002B7E6D"/>
    <w:rsid w:val="002C1F9F"/>
    <w:rsid w:val="002C344E"/>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27B5"/>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3712D"/>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B7151"/>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3BC9"/>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D52C2"/>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2FF1"/>
    <w:rsid w:val="00924971"/>
    <w:rsid w:val="00924B86"/>
    <w:rsid w:val="00925153"/>
    <w:rsid w:val="00930162"/>
    <w:rsid w:val="00931261"/>
    <w:rsid w:val="0093340F"/>
    <w:rsid w:val="0093448A"/>
    <w:rsid w:val="0094515E"/>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1B75"/>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C76B1"/>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51CC"/>
    <w:rsid w:val="00D67E11"/>
    <w:rsid w:val="00D70041"/>
    <w:rsid w:val="00D74E44"/>
    <w:rsid w:val="00D76C09"/>
    <w:rsid w:val="00D906F3"/>
    <w:rsid w:val="00D9215E"/>
    <w:rsid w:val="00D9458F"/>
    <w:rsid w:val="00DA49BA"/>
    <w:rsid w:val="00DA724B"/>
    <w:rsid w:val="00DA7686"/>
    <w:rsid w:val="00DB0CB3"/>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6319"/>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12</cp:revision>
  <cp:lastPrinted>2023-05-23T07:50:00Z</cp:lastPrinted>
  <dcterms:created xsi:type="dcterms:W3CDTF">2024-06-24T08:21:00Z</dcterms:created>
  <dcterms:modified xsi:type="dcterms:W3CDTF">2024-08-23T08:55:00Z</dcterms:modified>
</cp:coreProperties>
</file>